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E1703" w14:textId="77777777" w:rsidR="00C630FB" w:rsidRPr="00661A6A" w:rsidRDefault="00C630FB" w:rsidP="00C630FB">
      <w:pPr>
        <w:pStyle w:val="Subhead"/>
        <w:spacing w:before="240" w:after="240" w:line="240" w:lineRule="auto"/>
        <w:rPr>
          <w:color w:val="005EAC"/>
          <w:sz w:val="48"/>
          <w:szCs w:val="48"/>
        </w:rPr>
      </w:pPr>
      <w:r>
        <w:rPr>
          <w:color w:val="005EAC"/>
          <w:sz w:val="48"/>
          <w:szCs w:val="48"/>
        </w:rPr>
        <w:t>Role profile</w:t>
      </w:r>
      <w:r w:rsidRPr="00661A6A">
        <w:rPr>
          <w:color w:val="005EAC"/>
          <w:sz w:val="48"/>
          <w:szCs w:val="4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0060B0"/>
          <w:insideV w:val="none" w:sz="0" w:space="0" w:color="auto"/>
        </w:tblBorders>
        <w:tblLook w:val="04A0" w:firstRow="1" w:lastRow="0" w:firstColumn="1" w:lastColumn="0" w:noHBand="0" w:noVBand="1"/>
      </w:tblPr>
      <w:tblGrid>
        <w:gridCol w:w="9622"/>
      </w:tblGrid>
      <w:tr w:rsidR="00C630FB" w14:paraId="2E96C37D" w14:textId="77777777" w:rsidTr="00AD5616">
        <w:trPr>
          <w:jc w:val="center"/>
        </w:trPr>
        <w:tc>
          <w:tcPr>
            <w:tcW w:w="9622" w:type="dxa"/>
            <w:tcBorders>
              <w:bottom w:val="nil"/>
            </w:tcBorders>
          </w:tcPr>
          <w:tbl>
            <w:tblPr>
              <w:tblStyle w:val="TableGrid"/>
              <w:tblW w:w="5000" w:type="pct"/>
              <w:tblLook w:val="04A0" w:firstRow="1" w:lastRow="0" w:firstColumn="1" w:lastColumn="0" w:noHBand="0" w:noVBand="1"/>
            </w:tblPr>
            <w:tblGrid>
              <w:gridCol w:w="9396"/>
            </w:tblGrid>
            <w:tr w:rsidR="00C630FB" w14:paraId="1771B0DA" w14:textId="77777777" w:rsidTr="00C630FB">
              <w:tc>
                <w:tcPr>
                  <w:tcW w:w="5000" w:type="pct"/>
                  <w:shd w:val="clear" w:color="auto" w:fill="0070C0"/>
                </w:tcPr>
                <w:p w14:paraId="14157D39" w14:textId="77777777" w:rsidR="00C630FB" w:rsidRDefault="00C630FB" w:rsidP="00AD5616">
                  <w:pPr>
                    <w:spacing w:before="120" w:after="120"/>
                    <w:rPr>
                      <w:rFonts w:asciiTheme="minorHAnsi" w:hAnsiTheme="minorHAnsi" w:cstheme="minorHAnsi"/>
                      <w:b/>
                      <w:color w:val="0060B0"/>
                    </w:rPr>
                  </w:pPr>
                  <w:r w:rsidRPr="007C518F">
                    <w:rPr>
                      <w:rFonts w:asciiTheme="minorHAnsi" w:hAnsiTheme="minorHAnsi" w:cstheme="minorHAnsi"/>
                      <w:b/>
                    </w:rPr>
                    <w:t>Job Details</w:t>
                  </w:r>
                </w:p>
              </w:tc>
            </w:tr>
            <w:tr w:rsidR="00C630FB" w14:paraId="5F0ADFAC" w14:textId="77777777" w:rsidTr="00C630FB">
              <w:tc>
                <w:tcPr>
                  <w:tcW w:w="5000" w:type="pct"/>
                </w:tcPr>
                <w:p w14:paraId="7F9A570F" w14:textId="77777777" w:rsidR="00C630FB" w:rsidRDefault="00C630FB" w:rsidP="00AD5616">
                  <w:pPr>
                    <w:spacing w:before="120" w:after="120"/>
                    <w:rPr>
                      <w:rFonts w:asciiTheme="minorHAnsi" w:hAnsiTheme="minorHAnsi" w:cstheme="minorHAnsi"/>
                      <w:b/>
                      <w:color w:val="0060B0"/>
                    </w:rPr>
                  </w:pPr>
                  <w:r w:rsidRPr="00B52E7E">
                    <w:rPr>
                      <w:rFonts w:asciiTheme="minorHAnsi" w:hAnsiTheme="minorHAnsi" w:cstheme="minorHAnsi"/>
                      <w:b/>
                    </w:rPr>
                    <w:t xml:space="preserve">Job Title:  Board Member                                                                                                </w:t>
                  </w:r>
                </w:p>
              </w:tc>
            </w:tr>
            <w:tr w:rsidR="00C630FB" w14:paraId="3AD3FB69" w14:textId="77777777" w:rsidTr="00C630FB">
              <w:tc>
                <w:tcPr>
                  <w:tcW w:w="5000" w:type="pct"/>
                  <w:shd w:val="clear" w:color="auto" w:fill="0070C0"/>
                </w:tcPr>
                <w:p w14:paraId="3F33A1D3" w14:textId="77777777" w:rsidR="00C630FB" w:rsidRDefault="00C630FB" w:rsidP="00AD5616">
                  <w:pPr>
                    <w:spacing w:before="120" w:after="120"/>
                    <w:rPr>
                      <w:rFonts w:asciiTheme="minorHAnsi" w:hAnsiTheme="minorHAnsi" w:cstheme="minorHAnsi"/>
                      <w:b/>
                      <w:color w:val="0060B0"/>
                    </w:rPr>
                  </w:pPr>
                  <w:r w:rsidRPr="00E55CF6">
                    <w:rPr>
                      <w:rFonts w:asciiTheme="minorHAnsi" w:hAnsiTheme="minorHAnsi" w:cstheme="minorHAnsi"/>
                      <w:b/>
                    </w:rPr>
                    <w:t>Overview of the role</w:t>
                  </w:r>
                </w:p>
              </w:tc>
            </w:tr>
            <w:tr w:rsidR="00C630FB" w14:paraId="293B002B" w14:textId="77777777" w:rsidTr="00C630FB">
              <w:tc>
                <w:tcPr>
                  <w:tcW w:w="5000" w:type="pct"/>
                </w:tcPr>
                <w:p w14:paraId="7160CA3A" w14:textId="77777777" w:rsidR="00C630FB" w:rsidRPr="00D122F9" w:rsidRDefault="00C630FB" w:rsidP="00AD5616">
                  <w:pPr>
                    <w:spacing w:before="120" w:after="120"/>
                    <w:rPr>
                      <w:rFonts w:asciiTheme="minorHAnsi" w:hAnsiTheme="minorHAnsi" w:cstheme="minorHAnsi"/>
                      <w:b/>
                      <w:color w:val="0060B0"/>
                    </w:rPr>
                  </w:pPr>
                  <w:r w:rsidRPr="00D122F9">
                    <w:rPr>
                      <w:rFonts w:asciiTheme="minorHAnsi" w:hAnsiTheme="minorHAnsi" w:cstheme="minorHAnsi"/>
                    </w:rPr>
                    <w:t xml:space="preserve">The Housing Assurance Board will oversee the strategic direction and performance of Dudley Council’s Housing and Communities Directorate, reporting and making recommendations to Cabinet in accordance with the Council’s Standing Orders.  </w:t>
                  </w:r>
                </w:p>
              </w:tc>
            </w:tr>
            <w:tr w:rsidR="00C630FB" w14:paraId="3987E2B7" w14:textId="77777777" w:rsidTr="00C630FB">
              <w:tc>
                <w:tcPr>
                  <w:tcW w:w="5000" w:type="pct"/>
                  <w:shd w:val="clear" w:color="auto" w:fill="0070C0"/>
                </w:tcPr>
                <w:p w14:paraId="57823714" w14:textId="77777777" w:rsidR="00C630FB" w:rsidRDefault="00C630FB" w:rsidP="00AD5616">
                  <w:pPr>
                    <w:spacing w:before="120" w:after="120"/>
                    <w:rPr>
                      <w:rFonts w:asciiTheme="minorHAnsi" w:hAnsiTheme="minorHAnsi" w:cstheme="minorHAnsi"/>
                      <w:b/>
                      <w:color w:val="0060B0"/>
                    </w:rPr>
                  </w:pPr>
                  <w:r w:rsidRPr="00E55CF6">
                    <w:rPr>
                      <w:rFonts w:asciiTheme="minorHAnsi" w:hAnsiTheme="minorHAnsi" w:cstheme="minorHAnsi"/>
                      <w:b/>
                    </w:rPr>
                    <w:t>Job dimensions</w:t>
                  </w:r>
                </w:p>
              </w:tc>
            </w:tr>
            <w:tr w:rsidR="00C630FB" w14:paraId="01210B89" w14:textId="77777777" w:rsidTr="00C630FB">
              <w:tc>
                <w:tcPr>
                  <w:tcW w:w="5000" w:type="pct"/>
                </w:tcPr>
                <w:p w14:paraId="2D116843" w14:textId="77777777" w:rsidR="00C630FB" w:rsidRPr="00C0232E" w:rsidRDefault="00C630FB" w:rsidP="00AD5616">
                  <w:pPr>
                    <w:rPr>
                      <w:rFonts w:asciiTheme="minorHAnsi" w:hAnsiTheme="minorHAnsi" w:cstheme="minorHAnsi"/>
                    </w:rPr>
                  </w:pPr>
                  <w:r w:rsidRPr="00C0232E">
                    <w:rPr>
                      <w:rFonts w:asciiTheme="minorHAnsi" w:hAnsiTheme="minorHAnsi" w:cstheme="minorHAnsi"/>
                    </w:rPr>
                    <w:t>The Board will:</w:t>
                  </w:r>
                </w:p>
                <w:p w14:paraId="0FD9ADC1" w14:textId="77777777" w:rsidR="00C630FB" w:rsidRPr="00C0232E" w:rsidRDefault="00C630FB" w:rsidP="00AD5616">
                  <w:pPr>
                    <w:rPr>
                      <w:rFonts w:asciiTheme="minorHAnsi" w:hAnsiTheme="minorHAnsi" w:cstheme="minorHAnsi"/>
                    </w:rPr>
                  </w:pPr>
                </w:p>
                <w:p w14:paraId="2CEB8FAB"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Hold the Directorate to account for the delivery of the Service Improvement Plan and associated action </w:t>
                  </w:r>
                  <w:proofErr w:type="gramStart"/>
                  <w:r w:rsidRPr="00C0232E">
                    <w:rPr>
                      <w:rFonts w:asciiTheme="minorHAnsi" w:hAnsiTheme="minorHAnsi" w:cstheme="minorHAnsi"/>
                      <w:sz w:val="22"/>
                      <w:szCs w:val="22"/>
                    </w:rPr>
                    <w:t>plans;</w:t>
                  </w:r>
                  <w:proofErr w:type="gramEnd"/>
                </w:p>
                <w:p w14:paraId="63F362B1"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Review and challenge financial and performance data to gain assurance that the service is achieving performance targets and that the HRA budget is being managed </w:t>
                  </w:r>
                  <w:proofErr w:type="gramStart"/>
                  <w:r w:rsidRPr="00C0232E">
                    <w:rPr>
                      <w:rFonts w:asciiTheme="minorHAnsi" w:hAnsiTheme="minorHAnsi" w:cstheme="minorHAnsi"/>
                      <w:sz w:val="22"/>
                      <w:szCs w:val="22"/>
                    </w:rPr>
                    <w:t>robustly</w:t>
                  </w:r>
                  <w:r>
                    <w:rPr>
                      <w:rFonts w:asciiTheme="minorHAnsi" w:hAnsiTheme="minorHAnsi" w:cstheme="minorHAnsi"/>
                      <w:sz w:val="22"/>
                      <w:szCs w:val="22"/>
                    </w:rPr>
                    <w:t>;</w:t>
                  </w:r>
                  <w:proofErr w:type="gramEnd"/>
                </w:p>
                <w:p w14:paraId="0B1E1CC3"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Satisfy itself that risk is properly identified and </w:t>
                  </w:r>
                  <w:proofErr w:type="gramStart"/>
                  <w:r w:rsidRPr="00C0232E">
                    <w:rPr>
                      <w:rFonts w:asciiTheme="minorHAnsi" w:hAnsiTheme="minorHAnsi" w:cstheme="minorHAnsi"/>
                      <w:sz w:val="22"/>
                      <w:szCs w:val="22"/>
                    </w:rPr>
                    <w:t>managed</w:t>
                  </w:r>
                  <w:r>
                    <w:rPr>
                      <w:rFonts w:asciiTheme="minorHAnsi" w:hAnsiTheme="minorHAnsi" w:cstheme="minorHAnsi"/>
                      <w:sz w:val="22"/>
                      <w:szCs w:val="22"/>
                    </w:rPr>
                    <w:t>;</w:t>
                  </w:r>
                  <w:proofErr w:type="gramEnd"/>
                </w:p>
                <w:p w14:paraId="1D420D01"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Seek regular assurance that the Directorate is meeting its regulatory and statutory duties, including but not limited to building safety and </w:t>
                  </w:r>
                  <w:proofErr w:type="gramStart"/>
                  <w:r w:rsidRPr="00C0232E">
                    <w:rPr>
                      <w:rFonts w:asciiTheme="minorHAnsi" w:hAnsiTheme="minorHAnsi" w:cstheme="minorHAnsi"/>
                      <w:sz w:val="22"/>
                      <w:szCs w:val="22"/>
                    </w:rPr>
                    <w:t>compliance</w:t>
                  </w:r>
                  <w:r>
                    <w:rPr>
                      <w:rFonts w:asciiTheme="minorHAnsi" w:hAnsiTheme="minorHAnsi" w:cstheme="minorHAnsi"/>
                      <w:sz w:val="22"/>
                      <w:szCs w:val="22"/>
                    </w:rPr>
                    <w:t>;</w:t>
                  </w:r>
                  <w:proofErr w:type="gramEnd"/>
                </w:p>
                <w:p w14:paraId="09F9A0A1"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Receive and scrutinise annual and ad hoc self-assessments against the Regulator of Social Housing’s consumer standards and Rent Standard, the Housing </w:t>
                  </w:r>
                  <w:proofErr w:type="spellStart"/>
                  <w:r w:rsidRPr="00C0232E">
                    <w:rPr>
                      <w:rFonts w:asciiTheme="minorHAnsi" w:hAnsiTheme="minorHAnsi" w:cstheme="minorHAnsi"/>
                      <w:sz w:val="22"/>
                      <w:szCs w:val="22"/>
                    </w:rPr>
                    <w:t>Ombudsmans</w:t>
                  </w:r>
                  <w:proofErr w:type="spellEnd"/>
                  <w:r w:rsidRPr="00C0232E">
                    <w:rPr>
                      <w:rFonts w:asciiTheme="minorHAnsi" w:hAnsiTheme="minorHAnsi" w:cstheme="minorHAnsi"/>
                      <w:sz w:val="22"/>
                      <w:szCs w:val="22"/>
                    </w:rPr>
                    <w:t xml:space="preserve"> Complaints Code, and other relevant assessments which provide assurance that the service is managed </w:t>
                  </w:r>
                  <w:proofErr w:type="gramStart"/>
                  <w:r w:rsidRPr="00C0232E">
                    <w:rPr>
                      <w:rFonts w:asciiTheme="minorHAnsi" w:hAnsiTheme="minorHAnsi" w:cstheme="minorHAnsi"/>
                      <w:sz w:val="22"/>
                      <w:szCs w:val="22"/>
                    </w:rPr>
                    <w:t>effectively</w:t>
                  </w:r>
                  <w:r>
                    <w:rPr>
                      <w:rFonts w:asciiTheme="minorHAnsi" w:hAnsiTheme="minorHAnsi" w:cstheme="minorHAnsi"/>
                      <w:sz w:val="22"/>
                      <w:szCs w:val="22"/>
                    </w:rPr>
                    <w:t>;</w:t>
                  </w:r>
                  <w:proofErr w:type="gramEnd"/>
                </w:p>
                <w:p w14:paraId="4893FBFB"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Receive assurance from </w:t>
                  </w:r>
                  <w:proofErr w:type="gramStart"/>
                  <w:r w:rsidRPr="00C0232E">
                    <w:rPr>
                      <w:rFonts w:asciiTheme="minorHAnsi" w:hAnsiTheme="minorHAnsi" w:cstheme="minorHAnsi"/>
                      <w:sz w:val="22"/>
                      <w:szCs w:val="22"/>
                    </w:rPr>
                    <w:t xml:space="preserve">the </w:t>
                  </w:r>
                  <w:r>
                    <w:rPr>
                      <w:rFonts w:asciiTheme="minorHAnsi" w:hAnsiTheme="minorHAnsi" w:cstheme="minorHAnsi"/>
                      <w:sz w:val="22"/>
                      <w:szCs w:val="22"/>
                    </w:rPr>
                    <w:t xml:space="preserve"> Customer</w:t>
                  </w:r>
                  <w:proofErr w:type="gramEnd"/>
                  <w:r>
                    <w:rPr>
                      <w:rFonts w:asciiTheme="minorHAnsi" w:hAnsiTheme="minorHAnsi" w:cstheme="minorHAnsi"/>
                      <w:sz w:val="22"/>
                      <w:szCs w:val="22"/>
                    </w:rPr>
                    <w:t xml:space="preserve"> Assurance Board </w:t>
                  </w:r>
                  <w:r w:rsidRPr="00C0232E">
                    <w:rPr>
                      <w:rFonts w:asciiTheme="minorHAnsi" w:hAnsiTheme="minorHAnsi" w:cstheme="minorHAnsi"/>
                      <w:sz w:val="22"/>
                      <w:szCs w:val="22"/>
                    </w:rPr>
                    <w:t>and other sources that the Council is delivering against the commitments set out in the Charter for Social Housing Residents</w:t>
                  </w:r>
                  <w:r>
                    <w:rPr>
                      <w:rFonts w:asciiTheme="minorHAnsi" w:hAnsiTheme="minorHAnsi" w:cstheme="minorHAnsi"/>
                      <w:sz w:val="22"/>
                      <w:szCs w:val="22"/>
                    </w:rPr>
                    <w:t>;</w:t>
                  </w:r>
                </w:p>
                <w:p w14:paraId="7036AE90"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Oversee reporting to the Housing and Safer Communities Select Committee in line with the agreed scrutiny work programme and actions arising out of committee </w:t>
                  </w:r>
                  <w:proofErr w:type="gramStart"/>
                  <w:r w:rsidRPr="00C0232E">
                    <w:rPr>
                      <w:rFonts w:asciiTheme="minorHAnsi" w:hAnsiTheme="minorHAnsi" w:cstheme="minorHAnsi"/>
                      <w:sz w:val="22"/>
                      <w:szCs w:val="22"/>
                    </w:rPr>
                    <w:t>meetings</w:t>
                  </w:r>
                  <w:r>
                    <w:rPr>
                      <w:rFonts w:asciiTheme="minorHAnsi" w:hAnsiTheme="minorHAnsi" w:cstheme="minorHAnsi"/>
                      <w:sz w:val="22"/>
                      <w:szCs w:val="22"/>
                    </w:rPr>
                    <w:t>;</w:t>
                  </w:r>
                  <w:proofErr w:type="gramEnd"/>
                </w:p>
                <w:p w14:paraId="7CD3B71B"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Oversee the development of Dudley’s overarching Housing Strategy for approval by Cabinet; monitoring delivery of the Strategy once </w:t>
                  </w:r>
                  <w:proofErr w:type="gramStart"/>
                  <w:r w:rsidRPr="00C0232E">
                    <w:rPr>
                      <w:rFonts w:asciiTheme="minorHAnsi" w:hAnsiTheme="minorHAnsi" w:cstheme="minorHAnsi"/>
                      <w:sz w:val="22"/>
                      <w:szCs w:val="22"/>
                    </w:rPr>
                    <w:t>approved</w:t>
                  </w:r>
                  <w:r>
                    <w:rPr>
                      <w:rFonts w:asciiTheme="minorHAnsi" w:hAnsiTheme="minorHAnsi" w:cstheme="minorHAnsi"/>
                      <w:sz w:val="22"/>
                      <w:szCs w:val="22"/>
                    </w:rPr>
                    <w:t>;</w:t>
                  </w:r>
                  <w:proofErr w:type="gramEnd"/>
                </w:p>
                <w:p w14:paraId="61247D1E" w14:textId="77777777" w:rsidR="00C630FB" w:rsidRPr="00C0232E"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 xml:space="preserve">Hold housing services to account for the delivery of high performing, customer focused, </w:t>
                  </w:r>
                  <w:proofErr w:type="gramStart"/>
                  <w:r w:rsidRPr="00C0232E">
                    <w:rPr>
                      <w:rFonts w:asciiTheme="minorHAnsi" w:hAnsiTheme="minorHAnsi" w:cstheme="minorHAnsi"/>
                      <w:sz w:val="22"/>
                      <w:szCs w:val="22"/>
                    </w:rPr>
                    <w:t>evidence based</w:t>
                  </w:r>
                  <w:proofErr w:type="gramEnd"/>
                  <w:r w:rsidRPr="00C0232E">
                    <w:rPr>
                      <w:rFonts w:asciiTheme="minorHAnsi" w:hAnsiTheme="minorHAnsi" w:cstheme="minorHAnsi"/>
                      <w:sz w:val="22"/>
                      <w:szCs w:val="22"/>
                    </w:rPr>
                    <w:t xml:space="preserve"> services with a continuous improvement culture that seeks to learn from good practice from within and outside the sector and from the lived experience of our customers</w:t>
                  </w:r>
                  <w:r>
                    <w:rPr>
                      <w:rFonts w:asciiTheme="minorHAnsi" w:hAnsiTheme="minorHAnsi" w:cstheme="minorHAnsi"/>
                      <w:sz w:val="22"/>
                      <w:szCs w:val="22"/>
                    </w:rPr>
                    <w:t>;</w:t>
                  </w:r>
                </w:p>
                <w:p w14:paraId="4FE0E0E8" w14:textId="77777777" w:rsidR="00C630FB" w:rsidRPr="00D544C0" w:rsidRDefault="00C630FB" w:rsidP="00C630FB">
                  <w:pPr>
                    <w:pStyle w:val="ListParagraph"/>
                    <w:widowControl/>
                    <w:numPr>
                      <w:ilvl w:val="0"/>
                      <w:numId w:val="1"/>
                    </w:numPr>
                    <w:autoSpaceDE/>
                    <w:autoSpaceDN/>
                    <w:ind w:left="419"/>
                    <w:rPr>
                      <w:rFonts w:asciiTheme="minorHAnsi" w:hAnsiTheme="minorHAnsi" w:cstheme="minorHAnsi"/>
                      <w:sz w:val="22"/>
                      <w:szCs w:val="22"/>
                    </w:rPr>
                  </w:pPr>
                  <w:r w:rsidRPr="00C0232E">
                    <w:rPr>
                      <w:rFonts w:asciiTheme="minorHAnsi" w:hAnsiTheme="minorHAnsi" w:cstheme="minorHAnsi"/>
                      <w:sz w:val="22"/>
                      <w:szCs w:val="22"/>
                    </w:rPr>
                    <w:t>Present an annual assurance report to Housing and Safer Communities Select Committee, Audit and Standards Committee and Cabinet</w:t>
                  </w:r>
                  <w:r>
                    <w:rPr>
                      <w:rFonts w:asciiTheme="minorHAnsi" w:hAnsiTheme="minorHAnsi" w:cstheme="minorHAnsi"/>
                      <w:sz w:val="22"/>
                      <w:szCs w:val="22"/>
                    </w:rPr>
                    <w:t>.</w:t>
                  </w:r>
                </w:p>
              </w:tc>
            </w:tr>
            <w:tr w:rsidR="00C630FB" w14:paraId="63B600A4" w14:textId="77777777" w:rsidTr="00C630FB">
              <w:tc>
                <w:tcPr>
                  <w:tcW w:w="5000" w:type="pct"/>
                  <w:shd w:val="clear" w:color="auto" w:fill="0070C0"/>
                </w:tcPr>
                <w:p w14:paraId="6BC445C8" w14:textId="77777777" w:rsidR="00C630FB" w:rsidRDefault="00C630FB" w:rsidP="00AD5616">
                  <w:pPr>
                    <w:spacing w:before="120" w:after="120"/>
                    <w:rPr>
                      <w:rFonts w:asciiTheme="minorHAnsi" w:hAnsiTheme="minorHAnsi" w:cstheme="minorHAnsi"/>
                      <w:b/>
                      <w:color w:val="0060B0"/>
                    </w:rPr>
                  </w:pPr>
                  <w:r>
                    <w:rPr>
                      <w:rFonts w:asciiTheme="minorHAnsi" w:hAnsiTheme="minorHAnsi" w:cstheme="minorHAnsi"/>
                      <w:b/>
                    </w:rPr>
                    <w:t>Standard agenda items:</w:t>
                  </w:r>
                </w:p>
              </w:tc>
            </w:tr>
            <w:tr w:rsidR="00C630FB" w14:paraId="58DD62B2" w14:textId="77777777" w:rsidTr="00C630FB">
              <w:tc>
                <w:tcPr>
                  <w:tcW w:w="5000" w:type="pct"/>
                  <w:shd w:val="clear" w:color="auto" w:fill="FFFFFF" w:themeFill="background1"/>
                </w:tcPr>
                <w:p w14:paraId="58438A0A" w14:textId="77777777" w:rsidR="00C630FB"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Review of minutes, actions and matters arising and declarations of interest – every meeting</w:t>
                  </w:r>
                </w:p>
                <w:p w14:paraId="32138224" w14:textId="77777777" w:rsidR="00C630FB"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Review of performance data – quarterly</w:t>
                  </w:r>
                </w:p>
                <w:p w14:paraId="3174771F" w14:textId="77777777" w:rsidR="00C630FB"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Review of HRA budget position – quarterly</w:t>
                  </w:r>
                </w:p>
                <w:p w14:paraId="5C0AA425" w14:textId="77777777" w:rsidR="00C630FB"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Review of progress against Service Improvement Plan – quarterly</w:t>
                  </w:r>
                </w:p>
                <w:p w14:paraId="1F480F03" w14:textId="77777777" w:rsidR="00C630FB"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Review of other action plans – as required</w:t>
                  </w:r>
                </w:p>
                <w:p w14:paraId="2A74AB53" w14:textId="77777777" w:rsidR="00C630FB" w:rsidRPr="00D31070" w:rsidRDefault="00C630FB" w:rsidP="00C630FB">
                  <w:pPr>
                    <w:pStyle w:val="ListParagraph"/>
                    <w:widowControl/>
                    <w:numPr>
                      <w:ilvl w:val="0"/>
                      <w:numId w:val="2"/>
                    </w:numPr>
                    <w:autoSpaceDE/>
                    <w:autoSpaceDN/>
                    <w:contextualSpacing w:val="0"/>
                    <w:rPr>
                      <w:rFonts w:asciiTheme="minorHAnsi" w:hAnsiTheme="minorHAnsi" w:cstheme="minorHAnsi"/>
                    </w:rPr>
                  </w:pPr>
                  <w:r w:rsidRPr="00D544C0">
                    <w:rPr>
                      <w:rFonts w:asciiTheme="minorHAnsi" w:hAnsiTheme="minorHAnsi" w:cstheme="minorHAnsi"/>
                    </w:rPr>
                    <w:t>Preparation of the annual assurance report – annually</w:t>
                  </w:r>
                </w:p>
              </w:tc>
            </w:tr>
          </w:tbl>
          <w:p w14:paraId="402034CF" w14:textId="77777777" w:rsidR="00C630FB" w:rsidRPr="004F2BC2" w:rsidRDefault="00C630FB" w:rsidP="00AD5616">
            <w:pPr>
              <w:spacing w:before="120" w:after="120"/>
              <w:rPr>
                <w:rFonts w:asciiTheme="minorHAnsi" w:hAnsiTheme="minorHAnsi" w:cstheme="minorHAnsi"/>
                <w:b/>
                <w:color w:val="0060B0"/>
              </w:rPr>
            </w:pPr>
          </w:p>
        </w:tc>
      </w:tr>
    </w:tbl>
    <w:p w14:paraId="68D66787" w14:textId="77777777" w:rsidR="00C630FB" w:rsidRDefault="00C630FB" w:rsidP="00C630FB">
      <w:pPr>
        <w:rPr>
          <w:rFonts w:ascii="Calibri" w:eastAsiaTheme="minorHAnsi" w:hAnsi="Calibri" w:cs="Calibri"/>
          <w:lang w:eastAsia="en-US" w:bidi="ar-SA"/>
        </w:rPr>
      </w:pPr>
    </w:p>
    <w:p w14:paraId="77784501" w14:textId="77777777" w:rsidR="00C630FB" w:rsidRDefault="00C630FB">
      <w:pPr>
        <w:widowControl/>
        <w:autoSpaceDE/>
        <w:autoSpaceDN/>
        <w:spacing w:after="160" w:line="259" w:lineRule="auto"/>
        <w:rPr>
          <w:rFonts w:ascii="Calibri" w:eastAsiaTheme="minorHAnsi" w:hAnsi="Calibri" w:cs="Calibri"/>
          <w:color w:val="005EAC"/>
          <w:sz w:val="48"/>
          <w:szCs w:val="48"/>
          <w:lang w:eastAsia="en-US" w:bidi="ar-SA"/>
        </w:rPr>
      </w:pPr>
      <w:r>
        <w:rPr>
          <w:color w:val="005EAC"/>
          <w:sz w:val="48"/>
          <w:szCs w:val="48"/>
        </w:rPr>
        <w:br w:type="page"/>
      </w:r>
    </w:p>
    <w:p w14:paraId="044E8D13" w14:textId="5C95BCC9" w:rsidR="00C630FB" w:rsidRPr="00661A6A" w:rsidRDefault="00C630FB" w:rsidP="00C630FB">
      <w:pPr>
        <w:pStyle w:val="Subhead"/>
        <w:spacing w:before="240" w:after="240" w:line="240" w:lineRule="auto"/>
        <w:rPr>
          <w:color w:val="005EAC"/>
          <w:sz w:val="48"/>
          <w:szCs w:val="48"/>
        </w:rPr>
      </w:pPr>
      <w:r>
        <w:rPr>
          <w:color w:val="005EAC"/>
          <w:sz w:val="48"/>
          <w:szCs w:val="48"/>
        </w:rPr>
        <w:lastRenderedPageBreak/>
        <w:t>Person specification</w:t>
      </w:r>
      <w:r w:rsidRPr="00661A6A">
        <w:rPr>
          <w:color w:val="005EAC"/>
          <w:sz w:val="48"/>
          <w:szCs w:val="48"/>
        </w:rPr>
        <w:t xml:space="preserve"> </w:t>
      </w:r>
    </w:p>
    <w:tbl>
      <w:tblPr>
        <w:tblStyle w:val="TableGrid"/>
        <w:tblW w:w="0" w:type="auto"/>
        <w:tblLook w:val="04A0" w:firstRow="1" w:lastRow="0" w:firstColumn="1" w:lastColumn="0" w:noHBand="0" w:noVBand="1"/>
      </w:tblPr>
      <w:tblGrid>
        <w:gridCol w:w="9848"/>
      </w:tblGrid>
      <w:tr w:rsidR="00C630FB" w:rsidRPr="00DB0899" w14:paraId="4FE79C13" w14:textId="77777777" w:rsidTr="00AD5616">
        <w:tc>
          <w:tcPr>
            <w:tcW w:w="9848" w:type="dxa"/>
            <w:shd w:val="clear" w:color="auto" w:fill="0070C0"/>
          </w:tcPr>
          <w:p w14:paraId="5486BC03" w14:textId="77777777" w:rsidR="00C630FB" w:rsidRPr="00DB0899" w:rsidRDefault="00C630FB" w:rsidP="00AD5616">
            <w:pPr>
              <w:spacing w:before="120" w:after="120"/>
              <w:rPr>
                <w:rFonts w:asciiTheme="minorHAnsi" w:hAnsiTheme="minorHAnsi" w:cstheme="minorHAnsi"/>
                <w:b/>
              </w:rPr>
            </w:pPr>
            <w:r w:rsidRPr="00DB0899">
              <w:rPr>
                <w:rFonts w:asciiTheme="minorHAnsi" w:hAnsiTheme="minorHAnsi" w:cstheme="minorHAnsi"/>
                <w:b/>
              </w:rPr>
              <w:t>Experience and knowledge:</w:t>
            </w:r>
          </w:p>
        </w:tc>
      </w:tr>
      <w:tr w:rsidR="00C630FB" w:rsidRPr="00DB0899" w14:paraId="13B675C4" w14:textId="77777777" w:rsidTr="00AD5616">
        <w:tc>
          <w:tcPr>
            <w:tcW w:w="9848" w:type="dxa"/>
          </w:tcPr>
          <w:p w14:paraId="035B6EB5" w14:textId="77777777" w:rsidR="00C630FB"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Experience at an</w:t>
            </w:r>
            <w:r>
              <w:rPr>
                <w:rFonts w:asciiTheme="minorHAnsi" w:hAnsiTheme="minorHAnsi" w:cstheme="minorHAnsi"/>
              </w:rPr>
              <w:t xml:space="preserve"> executive level from a registered social housing provider</w:t>
            </w:r>
            <w:r w:rsidRPr="00A50ABA">
              <w:rPr>
                <w:rFonts w:asciiTheme="minorHAnsi" w:hAnsiTheme="minorHAnsi" w:cstheme="minorHAnsi"/>
              </w:rPr>
              <w:t xml:space="preserve">. </w:t>
            </w:r>
          </w:p>
          <w:p w14:paraId="65B2B526" w14:textId="77777777" w:rsidR="00C630FB" w:rsidRPr="008D3FB0" w:rsidRDefault="00C630FB" w:rsidP="00C630FB">
            <w:pPr>
              <w:numPr>
                <w:ilvl w:val="0"/>
                <w:numId w:val="3"/>
              </w:numPr>
              <w:autoSpaceDE/>
              <w:autoSpaceDN/>
              <w:spacing w:before="80" w:after="80"/>
              <w:ind w:left="317" w:hanging="357"/>
              <w:rPr>
                <w:rFonts w:asciiTheme="minorHAnsi" w:hAnsiTheme="minorHAnsi" w:cstheme="minorHAnsi"/>
              </w:rPr>
            </w:pPr>
            <w:r>
              <w:rPr>
                <w:rFonts w:ascii="Calibri" w:hAnsi="Calibri"/>
              </w:rPr>
              <w:t>K</w:t>
            </w:r>
            <w:r w:rsidRPr="00DB0899">
              <w:rPr>
                <w:rFonts w:ascii="Calibri" w:hAnsi="Calibri"/>
              </w:rPr>
              <w:t>nowledge of sector strategic considerations</w:t>
            </w:r>
            <w:r>
              <w:rPr>
                <w:rFonts w:ascii="Calibri" w:hAnsi="Calibri"/>
              </w:rPr>
              <w:t>.</w:t>
            </w:r>
          </w:p>
          <w:p w14:paraId="13DC50C5" w14:textId="77777777" w:rsidR="00C630FB" w:rsidRPr="00A50ABA" w:rsidRDefault="00C630FB" w:rsidP="00C630FB">
            <w:pPr>
              <w:numPr>
                <w:ilvl w:val="0"/>
                <w:numId w:val="3"/>
              </w:numPr>
              <w:autoSpaceDE/>
              <w:autoSpaceDN/>
              <w:spacing w:before="80" w:after="80"/>
              <w:ind w:left="317" w:hanging="357"/>
              <w:rPr>
                <w:rFonts w:asciiTheme="minorHAnsi" w:hAnsiTheme="minorHAnsi" w:cstheme="minorHAnsi"/>
              </w:rPr>
            </w:pPr>
            <w:r>
              <w:rPr>
                <w:rFonts w:asciiTheme="minorHAnsi" w:hAnsiTheme="minorHAnsi"/>
              </w:rPr>
              <w:t>Understanding of council environment and how this differs from a registered social housing provider.</w:t>
            </w:r>
          </w:p>
          <w:p w14:paraId="06134081"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Understanding of how Boards operate</w:t>
            </w:r>
            <w:r>
              <w:rPr>
                <w:rFonts w:asciiTheme="minorHAnsi" w:hAnsiTheme="minorHAnsi" w:cstheme="minorHAnsi"/>
              </w:rPr>
              <w:t xml:space="preserve"> gained from holding a non-executive post currently or previously</w:t>
            </w:r>
            <w:r w:rsidRPr="00DB0899">
              <w:rPr>
                <w:rFonts w:asciiTheme="minorHAnsi" w:hAnsiTheme="minorHAnsi" w:cstheme="minorHAnsi"/>
              </w:rPr>
              <w:t>.</w:t>
            </w:r>
          </w:p>
          <w:p w14:paraId="2B9E4B6A"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 xml:space="preserve">Experience in working with risk and assurance frameworks, appreciates the role of a Board and/or a </w:t>
            </w:r>
            <w:proofErr w:type="gramStart"/>
            <w:r w:rsidRPr="00DB0899">
              <w:rPr>
                <w:rFonts w:asciiTheme="minorHAnsi" w:hAnsiTheme="minorHAnsi" w:cstheme="minorHAnsi"/>
              </w:rPr>
              <w:t>Committee</w:t>
            </w:r>
            <w:proofErr w:type="gramEnd"/>
            <w:r w:rsidRPr="00DB0899">
              <w:rPr>
                <w:rFonts w:asciiTheme="minorHAnsi" w:hAnsiTheme="minorHAnsi" w:cstheme="minorHAnsi"/>
              </w:rPr>
              <w:t xml:space="preserve"> in monitoring compliance. </w:t>
            </w:r>
          </w:p>
          <w:p w14:paraId="72BFDDF9"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Experience of operating effectively at high levels within an organisation, and a proven ability in influencing decision making.</w:t>
            </w:r>
          </w:p>
          <w:p w14:paraId="45B389B3"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Calibri" w:hAnsi="Calibri"/>
              </w:rPr>
              <w:t>Appreciates the purpose and impact of social housing provision.</w:t>
            </w:r>
          </w:p>
        </w:tc>
      </w:tr>
      <w:tr w:rsidR="00C630FB" w:rsidRPr="00DB0899" w14:paraId="33145C7E" w14:textId="77777777" w:rsidTr="00AD5616">
        <w:tc>
          <w:tcPr>
            <w:tcW w:w="9848" w:type="dxa"/>
          </w:tcPr>
          <w:p w14:paraId="59D09C98" w14:textId="77777777" w:rsidR="00C630FB" w:rsidRPr="00DB0899" w:rsidRDefault="00C630FB" w:rsidP="00AD5616">
            <w:pPr>
              <w:spacing w:before="120" w:after="120"/>
              <w:rPr>
                <w:rFonts w:asciiTheme="minorHAnsi" w:hAnsiTheme="minorHAnsi" w:cstheme="minorHAnsi"/>
                <w:b/>
              </w:rPr>
            </w:pPr>
            <w:r w:rsidRPr="00DB0899">
              <w:rPr>
                <w:rFonts w:asciiTheme="minorHAnsi" w:hAnsiTheme="minorHAnsi" w:cstheme="minorHAnsi"/>
                <w:b/>
              </w:rPr>
              <w:t>Skills and abilities:</w:t>
            </w:r>
          </w:p>
        </w:tc>
      </w:tr>
      <w:tr w:rsidR="00C630FB" w:rsidRPr="00DB0899" w14:paraId="0C1228E6" w14:textId="77777777" w:rsidTr="00AD5616">
        <w:tc>
          <w:tcPr>
            <w:tcW w:w="9848" w:type="dxa"/>
          </w:tcPr>
          <w:p w14:paraId="2F2D2F7B"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 xml:space="preserve">Ability to contribute to the collective leadership of the </w:t>
            </w:r>
            <w:r>
              <w:rPr>
                <w:rFonts w:asciiTheme="minorHAnsi" w:hAnsiTheme="minorHAnsi" w:cstheme="minorHAnsi"/>
              </w:rPr>
              <w:t>directorate</w:t>
            </w:r>
            <w:r w:rsidRPr="00DB0899">
              <w:rPr>
                <w:rFonts w:asciiTheme="minorHAnsi" w:hAnsiTheme="minorHAnsi" w:cstheme="minorHAnsi"/>
              </w:rPr>
              <w:t>, to provide strategic direction.</w:t>
            </w:r>
          </w:p>
          <w:p w14:paraId="73835620"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Respects the respective roles of a Board</w:t>
            </w:r>
            <w:r>
              <w:rPr>
                <w:rFonts w:asciiTheme="minorHAnsi" w:hAnsiTheme="minorHAnsi" w:cstheme="minorHAnsi"/>
              </w:rPr>
              <w:t>, the</w:t>
            </w:r>
            <w:r w:rsidRPr="00DB0899">
              <w:rPr>
                <w:rFonts w:asciiTheme="minorHAnsi" w:hAnsiTheme="minorHAnsi" w:cstheme="minorHAnsi"/>
              </w:rPr>
              <w:t xml:space="preserve"> Executive</w:t>
            </w:r>
            <w:r>
              <w:rPr>
                <w:rFonts w:asciiTheme="minorHAnsi" w:hAnsiTheme="minorHAnsi" w:cstheme="minorHAnsi"/>
              </w:rPr>
              <w:t>, Councillors.</w:t>
            </w:r>
          </w:p>
          <w:p w14:paraId="108BFEAB"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Strong interpersonal skills, skilled at listening to other</w:t>
            </w:r>
            <w:r>
              <w:rPr>
                <w:rFonts w:asciiTheme="minorHAnsi" w:hAnsiTheme="minorHAnsi" w:cstheme="minorHAnsi"/>
              </w:rPr>
              <w:t>’</w:t>
            </w:r>
            <w:r w:rsidRPr="00DB0899">
              <w:rPr>
                <w:rFonts w:asciiTheme="minorHAnsi" w:hAnsiTheme="minorHAnsi" w:cstheme="minorHAnsi"/>
              </w:rPr>
              <w:t xml:space="preserve">s contributions, challenging in a constructive way and supporting consensus decision-making. </w:t>
            </w:r>
          </w:p>
          <w:p w14:paraId="65B58F1B"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Ability to make balanced and informed decisions.</w:t>
            </w:r>
          </w:p>
          <w:p w14:paraId="013FE65D"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Able to read, understand and analyse both written and numerical reports presented to the Board for decision and information and contribute to their discussion</w:t>
            </w:r>
            <w:r>
              <w:rPr>
                <w:rFonts w:asciiTheme="minorHAnsi" w:hAnsiTheme="minorHAnsi" w:cstheme="minorHAnsi"/>
              </w:rPr>
              <w:t>.</w:t>
            </w:r>
          </w:p>
          <w:p w14:paraId="0B753250"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Assesses risk and promotes risk awareness without being risk averse.</w:t>
            </w:r>
          </w:p>
          <w:p w14:paraId="2A17E734"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Calibri" w:hAnsi="Calibri"/>
              </w:rPr>
              <w:t xml:space="preserve">Ability to ensure the commitment to equality, diversity and inclusion runs through all that the Board do. </w:t>
            </w:r>
          </w:p>
          <w:p w14:paraId="720D8773"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Able to be an organisational ambassador.</w:t>
            </w:r>
          </w:p>
        </w:tc>
      </w:tr>
      <w:tr w:rsidR="00C630FB" w:rsidRPr="00DB0899" w14:paraId="376CF3C8" w14:textId="77777777" w:rsidTr="00AD5616">
        <w:tc>
          <w:tcPr>
            <w:tcW w:w="9848" w:type="dxa"/>
          </w:tcPr>
          <w:p w14:paraId="2FB7C0D2" w14:textId="77777777" w:rsidR="00C630FB" w:rsidRPr="00DB0899" w:rsidRDefault="00C630FB" w:rsidP="00AD5616">
            <w:pPr>
              <w:spacing w:before="120" w:after="120"/>
              <w:rPr>
                <w:rFonts w:asciiTheme="minorHAnsi" w:hAnsiTheme="minorHAnsi" w:cstheme="minorHAnsi"/>
                <w:b/>
              </w:rPr>
            </w:pPr>
            <w:r w:rsidRPr="00DB0899">
              <w:rPr>
                <w:rFonts w:asciiTheme="minorHAnsi" w:hAnsiTheme="minorHAnsi" w:cstheme="minorHAnsi"/>
                <w:b/>
              </w:rPr>
              <w:t>Personal qualities:</w:t>
            </w:r>
          </w:p>
        </w:tc>
      </w:tr>
      <w:tr w:rsidR="00C630FB" w:rsidRPr="00DB0899" w14:paraId="12707710" w14:textId="77777777" w:rsidTr="00AD5616">
        <w:tc>
          <w:tcPr>
            <w:tcW w:w="9848" w:type="dxa"/>
          </w:tcPr>
          <w:p w14:paraId="69D12209"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 xml:space="preserve">Shared vision and values of the </w:t>
            </w:r>
            <w:r>
              <w:rPr>
                <w:rFonts w:asciiTheme="minorHAnsi" w:hAnsiTheme="minorHAnsi" w:cstheme="minorHAnsi"/>
              </w:rPr>
              <w:t>council</w:t>
            </w:r>
            <w:r w:rsidRPr="00DB0899">
              <w:rPr>
                <w:rFonts w:asciiTheme="minorHAnsi" w:hAnsiTheme="minorHAnsi" w:cstheme="minorHAnsi"/>
              </w:rPr>
              <w:t>.</w:t>
            </w:r>
          </w:p>
          <w:p w14:paraId="1713A011"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 xml:space="preserve">Champions the rights of tenants to access high quality homes and services. </w:t>
            </w:r>
          </w:p>
          <w:p w14:paraId="66F07C1F"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Leads by example with an open, engaging, and enthusing style.</w:t>
            </w:r>
          </w:p>
          <w:p w14:paraId="399E7530" w14:textId="0FF177C0" w:rsidR="00CD0F75" w:rsidRPr="00CD0F75" w:rsidRDefault="00C630FB" w:rsidP="00CD0F75">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Has personal and professional credibility.</w:t>
            </w:r>
          </w:p>
          <w:p w14:paraId="704C2072"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Works well in a team, with a collaborative style.</w:t>
            </w:r>
          </w:p>
          <w:p w14:paraId="33859EEA" w14:textId="77777777" w:rsidR="00C630FB" w:rsidRPr="00DB0899" w:rsidRDefault="00C630FB" w:rsidP="00C630FB">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Committed to accountability, openness, transparency, and equality of opportunity.</w:t>
            </w:r>
          </w:p>
          <w:p w14:paraId="282E4742" w14:textId="3D45EBE9" w:rsidR="00CD0F75" w:rsidRPr="00CD0F75" w:rsidRDefault="00C630FB" w:rsidP="00CD0F75">
            <w:pPr>
              <w:numPr>
                <w:ilvl w:val="0"/>
                <w:numId w:val="3"/>
              </w:numPr>
              <w:autoSpaceDE/>
              <w:autoSpaceDN/>
              <w:spacing w:before="80" w:after="80"/>
              <w:ind w:left="317" w:hanging="357"/>
              <w:rPr>
                <w:rFonts w:asciiTheme="minorHAnsi" w:hAnsiTheme="minorHAnsi" w:cstheme="minorHAnsi"/>
              </w:rPr>
            </w:pPr>
            <w:r w:rsidRPr="00DB0899">
              <w:rPr>
                <w:rFonts w:asciiTheme="minorHAnsi" w:hAnsiTheme="minorHAnsi" w:cstheme="minorHAnsi"/>
              </w:rPr>
              <w:t>Has the necessary time commitment for the role.</w:t>
            </w:r>
          </w:p>
        </w:tc>
      </w:tr>
    </w:tbl>
    <w:p w14:paraId="785B3729" w14:textId="393F144E" w:rsidR="00C630FB" w:rsidRDefault="00C630FB"/>
    <w:p w14:paraId="43FAB932" w14:textId="77777777" w:rsidR="00C630FB" w:rsidRDefault="00C630FB">
      <w:pPr>
        <w:widowControl/>
        <w:autoSpaceDE/>
        <w:autoSpaceDN/>
        <w:spacing w:after="160" w:line="259" w:lineRule="auto"/>
      </w:pPr>
      <w:r>
        <w:br w:type="page"/>
      </w:r>
    </w:p>
    <w:p w14:paraId="4E25434D" w14:textId="77777777" w:rsidR="00C630FB" w:rsidRPr="00E60065" w:rsidRDefault="00C630FB" w:rsidP="00C630FB">
      <w:pPr>
        <w:pStyle w:val="Subhead"/>
        <w:spacing w:before="240" w:after="240" w:line="240" w:lineRule="auto"/>
        <w:rPr>
          <w:sz w:val="48"/>
        </w:rPr>
      </w:pPr>
      <w:r>
        <w:rPr>
          <w:sz w:val="48"/>
        </w:rPr>
        <w:lastRenderedPageBreak/>
        <w:t>Key terms and conditions</w:t>
      </w:r>
      <w:r w:rsidRPr="00E60065">
        <w:rPr>
          <w:sz w:val="48"/>
        </w:rPr>
        <w:t xml:space="preserve"> </w:t>
      </w:r>
    </w:p>
    <w:p w14:paraId="0693C934" w14:textId="77777777" w:rsidR="00C630FB" w:rsidRDefault="00C630FB" w:rsidP="00C630FB"/>
    <w:tbl>
      <w:tblPr>
        <w:tblStyle w:val="TableGrid"/>
        <w:tblW w:w="0" w:type="auto"/>
        <w:tblBorders>
          <w:top w:val="none" w:sz="0" w:space="0" w:color="auto"/>
          <w:left w:val="none" w:sz="0" w:space="0" w:color="auto"/>
          <w:bottom w:val="none" w:sz="0" w:space="0" w:color="auto"/>
          <w:right w:val="none" w:sz="0" w:space="0" w:color="auto"/>
          <w:insideH w:val="single" w:sz="8" w:space="0" w:color="005EAC"/>
          <w:insideV w:val="none" w:sz="0" w:space="0" w:color="auto"/>
        </w:tblBorders>
        <w:tblLook w:val="04A0" w:firstRow="1" w:lastRow="0" w:firstColumn="1" w:lastColumn="0" w:noHBand="0" w:noVBand="1"/>
      </w:tblPr>
      <w:tblGrid>
        <w:gridCol w:w="9622"/>
      </w:tblGrid>
      <w:tr w:rsidR="00C630FB" w:rsidRPr="00DE74F4" w14:paraId="13AE88AC" w14:textId="77777777" w:rsidTr="00AD5616">
        <w:tc>
          <w:tcPr>
            <w:tcW w:w="9622" w:type="dxa"/>
            <w:vAlign w:val="center"/>
          </w:tcPr>
          <w:p w14:paraId="6E9A7667" w14:textId="77777777" w:rsidR="00C630FB" w:rsidRPr="00DE74F4" w:rsidRDefault="00C630FB" w:rsidP="00AD5616">
            <w:pPr>
              <w:widowControl/>
              <w:autoSpaceDE/>
              <w:autoSpaceDN/>
              <w:spacing w:before="240" w:after="240"/>
              <w:jc w:val="both"/>
              <w:rPr>
                <w:rFonts w:ascii="Calibri" w:hAnsi="Calibri" w:cs="Calibri"/>
                <w:b/>
                <w:color w:val="005EAC"/>
              </w:rPr>
            </w:pPr>
            <w:bookmarkStart w:id="0" w:name="_Hlk34142492"/>
            <w:r w:rsidRPr="00DE74F4">
              <w:rPr>
                <w:rFonts w:ascii="Calibri" w:hAnsi="Calibri" w:cs="Calibri"/>
                <w:b/>
                <w:color w:val="005EAC"/>
              </w:rPr>
              <w:t>The role</w:t>
            </w:r>
          </w:p>
          <w:p w14:paraId="36BD3532" w14:textId="77777777" w:rsidR="00C630FB" w:rsidRPr="00DE74F4" w:rsidRDefault="00C630FB" w:rsidP="00AD5616">
            <w:pPr>
              <w:widowControl/>
              <w:autoSpaceDE/>
              <w:autoSpaceDN/>
              <w:spacing w:before="240" w:after="240"/>
              <w:jc w:val="both"/>
              <w:rPr>
                <w:rFonts w:ascii="Calibri" w:hAnsi="Calibri" w:cs="Calibri"/>
                <w:b/>
                <w:color w:val="005EAC"/>
              </w:rPr>
            </w:pPr>
            <w:r>
              <w:rPr>
                <w:rFonts w:ascii="Calibri" w:hAnsi="Calibri" w:cs="Calibri"/>
              </w:rPr>
              <w:t xml:space="preserve">Independent Board Member of the Housing Assurance Board. Must not be employed by Dudley Council. </w:t>
            </w:r>
          </w:p>
        </w:tc>
      </w:tr>
      <w:tr w:rsidR="00C630FB" w:rsidRPr="00DE74F4" w14:paraId="0517393A" w14:textId="77777777" w:rsidTr="00AD5616">
        <w:tc>
          <w:tcPr>
            <w:tcW w:w="9622" w:type="dxa"/>
            <w:vAlign w:val="center"/>
          </w:tcPr>
          <w:p w14:paraId="29BDE93B" w14:textId="77777777" w:rsidR="00C630FB" w:rsidRPr="00DE74F4" w:rsidRDefault="00C630FB" w:rsidP="00AD5616">
            <w:pPr>
              <w:widowControl/>
              <w:autoSpaceDE/>
              <w:autoSpaceDN/>
              <w:spacing w:before="240" w:after="240"/>
              <w:jc w:val="both"/>
              <w:rPr>
                <w:rFonts w:ascii="Calibri" w:hAnsi="Calibri" w:cs="Calibri"/>
                <w:b/>
                <w:color w:val="005EAC"/>
              </w:rPr>
            </w:pPr>
            <w:r>
              <w:rPr>
                <w:rFonts w:ascii="Calibri" w:hAnsi="Calibri" w:cs="Calibri"/>
                <w:b/>
                <w:color w:val="005EAC"/>
              </w:rPr>
              <w:t>Remuneration</w:t>
            </w:r>
          </w:p>
          <w:p w14:paraId="75A93F7E" w14:textId="0AC5B1B5" w:rsidR="00C630FB" w:rsidRDefault="00C630FB" w:rsidP="00AD5616">
            <w:pPr>
              <w:jc w:val="both"/>
              <w:rPr>
                <w:rFonts w:ascii="Calibri" w:eastAsia="Times New Roman" w:hAnsi="Calibri" w:cs="Calibri"/>
                <w:lang w:bidi="ar-SA"/>
              </w:rPr>
            </w:pPr>
            <w:r>
              <w:rPr>
                <w:rFonts w:ascii="Calibri" w:eastAsia="Times New Roman" w:hAnsi="Calibri" w:cs="Calibri"/>
                <w:lang w:bidi="ar-SA"/>
              </w:rPr>
              <w:t>£6,000 per annum. Reasonable expenses to travel to meetings will be reimbursed in line with the Council’s expense policy.</w:t>
            </w:r>
          </w:p>
          <w:p w14:paraId="78F5B46A" w14:textId="77777777" w:rsidR="00C630FB" w:rsidRPr="00DE74F4" w:rsidRDefault="00C630FB" w:rsidP="00AD5616">
            <w:pPr>
              <w:jc w:val="both"/>
              <w:rPr>
                <w:rFonts w:ascii="Calibri" w:eastAsia="Times New Roman" w:hAnsi="Calibri" w:cs="Calibri"/>
                <w:lang w:bidi="ar-SA"/>
              </w:rPr>
            </w:pPr>
          </w:p>
        </w:tc>
      </w:tr>
      <w:tr w:rsidR="00C630FB" w:rsidRPr="00DE74F4" w14:paraId="41BD2511" w14:textId="77777777" w:rsidTr="00AD5616">
        <w:tc>
          <w:tcPr>
            <w:tcW w:w="9622" w:type="dxa"/>
            <w:vAlign w:val="center"/>
          </w:tcPr>
          <w:p w14:paraId="66FB1D24" w14:textId="77777777" w:rsidR="00C630FB" w:rsidRPr="00DE74F4" w:rsidRDefault="00C630FB" w:rsidP="00AD5616">
            <w:pPr>
              <w:widowControl/>
              <w:autoSpaceDE/>
              <w:autoSpaceDN/>
              <w:spacing w:before="240" w:after="240"/>
              <w:jc w:val="both"/>
              <w:rPr>
                <w:rFonts w:ascii="Calibri" w:hAnsi="Calibri" w:cs="Calibri"/>
                <w:b/>
                <w:color w:val="005EAC"/>
              </w:rPr>
            </w:pPr>
            <w:r>
              <w:rPr>
                <w:rFonts w:ascii="Calibri" w:hAnsi="Calibri" w:cs="Calibri"/>
                <w:b/>
                <w:color w:val="005EAC"/>
              </w:rPr>
              <w:t>Term</w:t>
            </w:r>
          </w:p>
          <w:p w14:paraId="4A99DB53" w14:textId="77777777" w:rsidR="00C630FB" w:rsidRDefault="00C630FB" w:rsidP="00AD5616">
            <w:pPr>
              <w:widowControl/>
              <w:autoSpaceDE/>
              <w:autoSpaceDN/>
              <w:jc w:val="both"/>
              <w:rPr>
                <w:rFonts w:ascii="Calibri" w:eastAsia="Calibri" w:hAnsi="Calibri" w:cs="Calibri"/>
                <w:lang w:eastAsia="en-US" w:bidi="ar-SA"/>
              </w:rPr>
            </w:pPr>
            <w:proofErr w:type="gramStart"/>
            <w:r>
              <w:rPr>
                <w:rFonts w:ascii="Calibri" w:eastAsia="Calibri" w:hAnsi="Calibri" w:cs="Calibri"/>
                <w:lang w:eastAsia="en-US" w:bidi="ar-SA"/>
              </w:rPr>
              <w:t>Three year</w:t>
            </w:r>
            <w:proofErr w:type="gramEnd"/>
            <w:r>
              <w:rPr>
                <w:rFonts w:ascii="Calibri" w:eastAsia="Calibri" w:hAnsi="Calibri" w:cs="Calibri"/>
                <w:lang w:eastAsia="en-US" w:bidi="ar-SA"/>
              </w:rPr>
              <w:t xml:space="preserve"> term, eligible to be renewed for a maximum service of six years.</w:t>
            </w:r>
          </w:p>
          <w:p w14:paraId="0B7FD28D" w14:textId="77777777" w:rsidR="00C630FB" w:rsidRPr="00DE74F4" w:rsidRDefault="00C630FB" w:rsidP="00AD5616">
            <w:pPr>
              <w:widowControl/>
              <w:autoSpaceDE/>
              <w:autoSpaceDN/>
              <w:jc w:val="both"/>
              <w:rPr>
                <w:rFonts w:ascii="Calibri" w:eastAsia="Calibri" w:hAnsi="Calibri" w:cs="Calibri"/>
                <w:lang w:eastAsia="en-US" w:bidi="ar-SA"/>
              </w:rPr>
            </w:pPr>
          </w:p>
        </w:tc>
      </w:tr>
      <w:tr w:rsidR="00C630FB" w:rsidRPr="00DE74F4" w14:paraId="47FB278E" w14:textId="77777777" w:rsidTr="00AD5616">
        <w:tc>
          <w:tcPr>
            <w:tcW w:w="9622" w:type="dxa"/>
            <w:vAlign w:val="center"/>
          </w:tcPr>
          <w:p w14:paraId="1043DFB6" w14:textId="77777777" w:rsidR="00C630FB" w:rsidRPr="00DE74F4" w:rsidRDefault="00C630FB" w:rsidP="00AD5616">
            <w:pPr>
              <w:widowControl/>
              <w:autoSpaceDE/>
              <w:autoSpaceDN/>
              <w:spacing w:before="240" w:after="240"/>
              <w:jc w:val="both"/>
              <w:rPr>
                <w:rFonts w:ascii="Calibri" w:hAnsi="Calibri" w:cs="Calibri"/>
                <w:b/>
                <w:color w:val="005EAC"/>
              </w:rPr>
            </w:pPr>
            <w:r>
              <w:rPr>
                <w:rFonts w:ascii="Calibri" w:hAnsi="Calibri" w:cs="Calibri"/>
                <w:b/>
                <w:color w:val="005EAC"/>
              </w:rPr>
              <w:t>Time commitment</w:t>
            </w:r>
          </w:p>
          <w:p w14:paraId="16E9F720" w14:textId="6D683DCE" w:rsidR="00C630FB" w:rsidRDefault="00C630FB" w:rsidP="00AD5616">
            <w:pPr>
              <w:widowControl/>
              <w:autoSpaceDE/>
              <w:autoSpaceDN/>
              <w:jc w:val="both"/>
              <w:rPr>
                <w:rFonts w:ascii="Calibri" w:eastAsia="Calibri" w:hAnsi="Calibri" w:cs="Calibri"/>
                <w:lang w:eastAsia="en-US" w:bidi="ar-SA"/>
              </w:rPr>
            </w:pPr>
            <w:r>
              <w:rPr>
                <w:rFonts w:ascii="Calibri" w:eastAsia="Calibri" w:hAnsi="Calibri" w:cs="Calibri"/>
                <w:lang w:eastAsia="en-US" w:bidi="ar-SA"/>
              </w:rPr>
              <w:t>Meetings are</w:t>
            </w:r>
            <w:r w:rsidR="00CD0F75">
              <w:rPr>
                <w:rFonts w:ascii="Calibri" w:eastAsia="Calibri" w:hAnsi="Calibri" w:cs="Calibri"/>
                <w:lang w:eastAsia="en-US" w:bidi="ar-SA"/>
              </w:rPr>
              <w:t xml:space="preserve"> held in person</w:t>
            </w:r>
            <w:r>
              <w:rPr>
                <w:rFonts w:ascii="Calibri" w:eastAsia="Calibri" w:hAnsi="Calibri" w:cs="Calibri"/>
                <w:lang w:eastAsia="en-US" w:bidi="ar-SA"/>
              </w:rPr>
              <w:t xml:space="preserve"> 6 times per year. Board housing tours will occur 1-2 times per year. No requirement to join a committee.</w:t>
            </w:r>
          </w:p>
          <w:p w14:paraId="28BA4E55" w14:textId="77777777" w:rsidR="00C630FB" w:rsidRDefault="00C630FB" w:rsidP="00AD5616">
            <w:pPr>
              <w:widowControl/>
              <w:autoSpaceDE/>
              <w:autoSpaceDN/>
              <w:jc w:val="both"/>
              <w:rPr>
                <w:rFonts w:ascii="Calibri" w:eastAsia="Calibri" w:hAnsi="Calibri" w:cs="Calibri"/>
                <w:lang w:eastAsia="en-US" w:bidi="ar-SA"/>
              </w:rPr>
            </w:pPr>
          </w:p>
          <w:p w14:paraId="4EBDF30C" w14:textId="6822058C" w:rsidR="00CD0F75" w:rsidRDefault="00C630FB" w:rsidP="00AD5616">
            <w:pPr>
              <w:widowControl/>
              <w:autoSpaceDE/>
              <w:autoSpaceDN/>
              <w:jc w:val="both"/>
              <w:rPr>
                <w:rFonts w:ascii="Calibri" w:eastAsia="Calibri" w:hAnsi="Calibri" w:cs="Calibri"/>
                <w:lang w:eastAsia="en-US" w:bidi="ar-SA"/>
              </w:rPr>
            </w:pPr>
            <w:r>
              <w:rPr>
                <w:rFonts w:ascii="Calibri" w:eastAsia="Calibri" w:hAnsi="Calibri" w:cs="Calibri"/>
                <w:lang w:eastAsia="en-US" w:bidi="ar-SA"/>
              </w:rPr>
              <w:t>There is opportunity to support and champion the Housing and Communities Directorate through council events.</w:t>
            </w:r>
          </w:p>
          <w:p w14:paraId="769B0BC4" w14:textId="77777777" w:rsidR="00C630FB" w:rsidRDefault="00C630FB" w:rsidP="00AD5616">
            <w:pPr>
              <w:widowControl/>
              <w:autoSpaceDE/>
              <w:autoSpaceDN/>
              <w:jc w:val="both"/>
              <w:rPr>
                <w:rFonts w:ascii="Calibri" w:eastAsia="Calibri" w:hAnsi="Calibri" w:cs="Calibri"/>
                <w:lang w:eastAsia="en-US" w:bidi="ar-SA"/>
              </w:rPr>
            </w:pPr>
          </w:p>
          <w:p w14:paraId="570E3206" w14:textId="45ED7FF2" w:rsidR="00CD0F75" w:rsidRDefault="00CD0F75" w:rsidP="00AD5616">
            <w:pPr>
              <w:widowControl/>
              <w:autoSpaceDE/>
              <w:autoSpaceDN/>
              <w:jc w:val="both"/>
              <w:rPr>
                <w:rFonts w:ascii="Calibri" w:eastAsia="Calibri" w:hAnsi="Calibri" w:cs="Calibri"/>
                <w:lang w:eastAsia="en-US" w:bidi="ar-SA"/>
              </w:rPr>
            </w:pPr>
            <w:r>
              <w:rPr>
                <w:rFonts w:ascii="Calibri" w:eastAsia="Calibri" w:hAnsi="Calibri" w:cs="Calibri"/>
                <w:lang w:eastAsia="en-US" w:bidi="ar-SA"/>
              </w:rPr>
              <w:t xml:space="preserve">Commitment to training and appraisals  </w:t>
            </w:r>
          </w:p>
          <w:p w14:paraId="1DE064E0" w14:textId="77777777" w:rsidR="00CD0F75" w:rsidRDefault="00CD0F75" w:rsidP="00AD5616">
            <w:pPr>
              <w:widowControl/>
              <w:autoSpaceDE/>
              <w:autoSpaceDN/>
              <w:jc w:val="both"/>
              <w:rPr>
                <w:rFonts w:ascii="Calibri" w:eastAsia="Calibri" w:hAnsi="Calibri" w:cs="Calibri"/>
                <w:lang w:eastAsia="en-US" w:bidi="ar-SA"/>
              </w:rPr>
            </w:pPr>
          </w:p>
          <w:p w14:paraId="351F44DB" w14:textId="77777777" w:rsidR="00C630FB" w:rsidRDefault="00C630FB" w:rsidP="00AD5616">
            <w:pPr>
              <w:widowControl/>
              <w:autoSpaceDE/>
              <w:autoSpaceDN/>
              <w:jc w:val="both"/>
              <w:rPr>
                <w:rFonts w:ascii="Calibri" w:eastAsia="Calibri" w:hAnsi="Calibri" w:cs="Calibri"/>
                <w:lang w:eastAsia="en-US" w:bidi="ar-SA"/>
              </w:rPr>
            </w:pPr>
            <w:r>
              <w:rPr>
                <w:rFonts w:ascii="Calibri" w:eastAsia="Calibri" w:hAnsi="Calibri" w:cs="Calibri"/>
                <w:lang w:eastAsia="en-US" w:bidi="ar-SA"/>
              </w:rPr>
              <w:t>Estimated time commitment is 1 day per month.</w:t>
            </w:r>
          </w:p>
          <w:p w14:paraId="0BA159B5" w14:textId="77777777" w:rsidR="00C630FB" w:rsidRPr="00076232" w:rsidRDefault="00C630FB" w:rsidP="00AD5616">
            <w:pPr>
              <w:widowControl/>
              <w:autoSpaceDE/>
              <w:autoSpaceDN/>
              <w:jc w:val="both"/>
              <w:rPr>
                <w:rFonts w:ascii="Calibri" w:eastAsia="Calibri" w:hAnsi="Calibri" w:cs="Calibri"/>
                <w:lang w:eastAsia="en-US" w:bidi="ar-SA"/>
              </w:rPr>
            </w:pPr>
          </w:p>
        </w:tc>
      </w:tr>
      <w:tr w:rsidR="00C630FB" w:rsidRPr="00DE74F4" w14:paraId="62C8518B" w14:textId="77777777" w:rsidTr="00AD5616">
        <w:tc>
          <w:tcPr>
            <w:tcW w:w="9622" w:type="dxa"/>
            <w:vAlign w:val="center"/>
          </w:tcPr>
          <w:p w14:paraId="09295246" w14:textId="77777777" w:rsidR="00C630FB" w:rsidRPr="00DE74F4" w:rsidRDefault="00C630FB" w:rsidP="00AD5616">
            <w:pPr>
              <w:widowControl/>
              <w:autoSpaceDE/>
              <w:autoSpaceDN/>
              <w:spacing w:before="240" w:after="240"/>
              <w:jc w:val="both"/>
              <w:rPr>
                <w:rFonts w:ascii="Calibri" w:hAnsi="Calibri" w:cs="Calibri"/>
                <w:b/>
                <w:color w:val="005EAC"/>
              </w:rPr>
            </w:pPr>
            <w:r>
              <w:rPr>
                <w:rFonts w:ascii="Calibri" w:hAnsi="Calibri" w:cs="Calibri"/>
                <w:b/>
                <w:color w:val="005EAC"/>
              </w:rPr>
              <w:t>Induction</w:t>
            </w:r>
          </w:p>
          <w:p w14:paraId="1145F92F" w14:textId="77777777" w:rsidR="00C630FB" w:rsidRDefault="00C630FB" w:rsidP="00AD5616">
            <w:pPr>
              <w:widowControl/>
              <w:autoSpaceDE/>
              <w:autoSpaceDN/>
              <w:jc w:val="both"/>
              <w:rPr>
                <w:rFonts w:ascii="Calibri" w:eastAsia="Calibri" w:hAnsi="Calibri" w:cs="Calibri"/>
                <w:lang w:eastAsia="en-US" w:bidi="ar-SA"/>
              </w:rPr>
            </w:pPr>
            <w:r>
              <w:rPr>
                <w:rFonts w:ascii="Calibri" w:eastAsia="Calibri" w:hAnsi="Calibri" w:cs="Calibri"/>
                <w:lang w:eastAsia="en-US" w:bidi="ar-SA"/>
              </w:rPr>
              <w:t>An away day induction will take place once recruitment is completed.</w:t>
            </w:r>
          </w:p>
          <w:p w14:paraId="44754AED" w14:textId="77777777" w:rsidR="00C630FB" w:rsidRPr="007D7638" w:rsidRDefault="00C630FB" w:rsidP="00AD5616">
            <w:pPr>
              <w:widowControl/>
              <w:autoSpaceDE/>
              <w:autoSpaceDN/>
              <w:jc w:val="both"/>
              <w:rPr>
                <w:rFonts w:ascii="Calibri" w:eastAsia="Calibri" w:hAnsi="Calibri" w:cs="Calibri"/>
                <w:lang w:eastAsia="en-US" w:bidi="ar-SA"/>
              </w:rPr>
            </w:pPr>
          </w:p>
        </w:tc>
      </w:tr>
      <w:bookmarkEnd w:id="0"/>
      <w:tr w:rsidR="00C630FB" w:rsidRPr="00716226" w14:paraId="5DF3A074" w14:textId="77777777" w:rsidTr="00AD5616">
        <w:tc>
          <w:tcPr>
            <w:tcW w:w="9622" w:type="dxa"/>
          </w:tcPr>
          <w:p w14:paraId="39ED2D78" w14:textId="77777777" w:rsidR="00C630FB" w:rsidRPr="00DE74F4" w:rsidRDefault="00C630FB" w:rsidP="00AD5616">
            <w:pPr>
              <w:jc w:val="both"/>
              <w:rPr>
                <w:rFonts w:ascii="Calibri"/>
                <w:b/>
                <w:color w:val="005EAC"/>
              </w:rPr>
            </w:pPr>
          </w:p>
          <w:p w14:paraId="5AF6249E" w14:textId="77777777" w:rsidR="00C630FB" w:rsidRPr="00DE74F4" w:rsidRDefault="00C630FB" w:rsidP="00AD5616">
            <w:pPr>
              <w:jc w:val="both"/>
              <w:rPr>
                <w:rFonts w:ascii="Calibri"/>
                <w:b/>
                <w:color w:val="005EAC"/>
              </w:rPr>
            </w:pPr>
            <w:r>
              <w:rPr>
                <w:rFonts w:ascii="Calibri"/>
                <w:b/>
                <w:color w:val="005EAC"/>
              </w:rPr>
              <w:t>Meeting location</w:t>
            </w:r>
          </w:p>
          <w:p w14:paraId="6120FA4D" w14:textId="77777777" w:rsidR="00CD0F75" w:rsidRDefault="00CD0F75" w:rsidP="00AD5616">
            <w:pPr>
              <w:widowControl/>
              <w:autoSpaceDE/>
              <w:autoSpaceDN/>
              <w:spacing w:after="160" w:line="259" w:lineRule="auto"/>
              <w:jc w:val="both"/>
              <w:rPr>
                <w:rFonts w:asciiTheme="minorHAnsi"/>
              </w:rPr>
            </w:pPr>
          </w:p>
          <w:p w14:paraId="632FC559" w14:textId="1F80319A" w:rsidR="00C630FB" w:rsidRDefault="00CD0F75" w:rsidP="00AD5616">
            <w:pPr>
              <w:widowControl/>
              <w:autoSpaceDE/>
              <w:autoSpaceDN/>
              <w:spacing w:after="160" w:line="259" w:lineRule="auto"/>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There will be a commitment required to attend m</w:t>
            </w:r>
            <w:r w:rsidR="00C630FB">
              <w:rPr>
                <w:rFonts w:asciiTheme="minorHAnsi" w:eastAsia="Calibri" w:hAnsiTheme="minorHAnsi" w:cstheme="minorHAnsi"/>
                <w:lang w:eastAsia="en-US" w:bidi="ar-SA"/>
              </w:rPr>
              <w:t>eetings in person, although hybrid attendance can be supported</w:t>
            </w:r>
            <w:r>
              <w:rPr>
                <w:rFonts w:asciiTheme="minorHAnsi" w:eastAsia="Calibri" w:hAnsiTheme="minorHAnsi" w:cstheme="minorHAnsi"/>
                <w:lang w:eastAsia="en-US" w:bidi="ar-SA"/>
              </w:rPr>
              <w:t xml:space="preserve"> in exceptional circumstances.</w:t>
            </w:r>
          </w:p>
          <w:p w14:paraId="3AB2D135" w14:textId="77777777" w:rsidR="00C630FB" w:rsidRDefault="00C630FB" w:rsidP="00AD5616">
            <w:pPr>
              <w:widowControl/>
              <w:autoSpaceDE/>
              <w:autoSpaceDN/>
              <w:spacing w:line="259" w:lineRule="auto"/>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Council House</w:t>
            </w:r>
          </w:p>
          <w:p w14:paraId="7910AAFA" w14:textId="77777777" w:rsidR="00C630FB" w:rsidRDefault="00C630FB" w:rsidP="00AD5616">
            <w:pPr>
              <w:widowControl/>
              <w:autoSpaceDE/>
              <w:autoSpaceDN/>
              <w:spacing w:line="259" w:lineRule="auto"/>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Priory Road</w:t>
            </w:r>
          </w:p>
          <w:p w14:paraId="0F7C3907" w14:textId="77777777" w:rsidR="00C630FB" w:rsidRDefault="00C630FB" w:rsidP="00AD5616">
            <w:pPr>
              <w:widowControl/>
              <w:autoSpaceDE/>
              <w:autoSpaceDN/>
              <w:spacing w:line="259" w:lineRule="auto"/>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Dudley</w:t>
            </w:r>
          </w:p>
          <w:p w14:paraId="2BA46CEE" w14:textId="77777777" w:rsidR="00C630FB" w:rsidRPr="00076232" w:rsidRDefault="00C630FB" w:rsidP="00AD5616">
            <w:pPr>
              <w:widowControl/>
              <w:autoSpaceDE/>
              <w:autoSpaceDN/>
              <w:spacing w:line="259" w:lineRule="auto"/>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D1Y 1HF</w:t>
            </w:r>
          </w:p>
        </w:tc>
      </w:tr>
    </w:tbl>
    <w:p w14:paraId="446E14EB" w14:textId="77777777" w:rsidR="00C630FB" w:rsidRDefault="00C630FB"/>
    <w:sectPr w:rsidR="00C630FB" w:rsidSect="00C630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charset w:val="00"/>
    <w:family w:val="auto"/>
    <w:pitch w:val="variable"/>
    <w:sig w:usb0="A00002E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DBA"/>
    <w:multiLevelType w:val="hybridMultilevel"/>
    <w:tmpl w:val="8C84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16F8"/>
    <w:multiLevelType w:val="hybridMultilevel"/>
    <w:tmpl w:val="F342CE30"/>
    <w:lvl w:ilvl="0" w:tplc="D5B28BDE">
      <w:start w:val="1"/>
      <w:numFmt w:val="lowerLetter"/>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C075D0"/>
    <w:multiLevelType w:val="hybridMultilevel"/>
    <w:tmpl w:val="F98A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607356">
    <w:abstractNumId w:val="0"/>
  </w:num>
  <w:num w:numId="2" w16cid:durableId="198008007">
    <w:abstractNumId w:val="2"/>
  </w:num>
  <w:num w:numId="3" w16cid:durableId="110168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FB"/>
    <w:rsid w:val="00BB64B0"/>
    <w:rsid w:val="00C630FB"/>
    <w:rsid w:val="00CD0F75"/>
    <w:rsid w:val="00D327A9"/>
    <w:rsid w:val="00F2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A8C2"/>
  <w15:chartTrackingRefBased/>
  <w15:docId w15:val="{DE53B50F-A451-481D-AEDB-3A1A263F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30FB"/>
    <w:pPr>
      <w:widowControl w:val="0"/>
      <w:autoSpaceDE w:val="0"/>
      <w:autoSpaceDN w:val="0"/>
      <w:spacing w:after="0" w:line="240" w:lineRule="auto"/>
    </w:pPr>
    <w:rPr>
      <w:rFonts w:ascii="Calibri-Light" w:eastAsia="Calibri-Light" w:hAnsi="Calibri-Light" w:cs="Calibri-Light"/>
      <w:lang w:eastAsia="en-GB" w:bidi="en-GB"/>
    </w:rPr>
  </w:style>
  <w:style w:type="paragraph" w:styleId="Heading1">
    <w:name w:val="heading 1"/>
    <w:basedOn w:val="Normal"/>
    <w:next w:val="Normal"/>
    <w:link w:val="Heading1Char"/>
    <w:uiPriority w:val="9"/>
    <w:qFormat/>
    <w:rsid w:val="00C63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3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30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30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30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30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0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0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0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0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0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30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0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0FB"/>
    <w:rPr>
      <w:rFonts w:eastAsiaTheme="majorEastAsia" w:cstheme="majorBidi"/>
      <w:color w:val="272727" w:themeColor="text1" w:themeTint="D8"/>
    </w:rPr>
  </w:style>
  <w:style w:type="paragraph" w:styleId="Title">
    <w:name w:val="Title"/>
    <w:basedOn w:val="Normal"/>
    <w:next w:val="Normal"/>
    <w:link w:val="TitleChar"/>
    <w:uiPriority w:val="10"/>
    <w:qFormat/>
    <w:rsid w:val="00C63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0FB"/>
    <w:pPr>
      <w:spacing w:before="160"/>
      <w:jc w:val="center"/>
    </w:pPr>
    <w:rPr>
      <w:i/>
      <w:iCs/>
      <w:color w:val="404040" w:themeColor="text1" w:themeTint="BF"/>
    </w:rPr>
  </w:style>
  <w:style w:type="character" w:customStyle="1" w:styleId="QuoteChar">
    <w:name w:val="Quote Char"/>
    <w:basedOn w:val="DefaultParagraphFont"/>
    <w:link w:val="Quote"/>
    <w:uiPriority w:val="29"/>
    <w:rsid w:val="00C630FB"/>
    <w:rPr>
      <w:i/>
      <w:iCs/>
      <w:color w:val="404040" w:themeColor="text1" w:themeTint="BF"/>
    </w:rPr>
  </w:style>
  <w:style w:type="paragraph" w:styleId="ListParagraph">
    <w:name w:val="List Paragraph"/>
    <w:basedOn w:val="Normal"/>
    <w:uiPriority w:val="34"/>
    <w:qFormat/>
    <w:rsid w:val="00C630FB"/>
    <w:pPr>
      <w:ind w:left="720"/>
      <w:contextualSpacing/>
    </w:pPr>
  </w:style>
  <w:style w:type="character" w:styleId="IntenseEmphasis">
    <w:name w:val="Intense Emphasis"/>
    <w:basedOn w:val="DefaultParagraphFont"/>
    <w:uiPriority w:val="21"/>
    <w:qFormat/>
    <w:rsid w:val="00C630FB"/>
    <w:rPr>
      <w:i/>
      <w:iCs/>
      <w:color w:val="2F5496" w:themeColor="accent1" w:themeShade="BF"/>
    </w:rPr>
  </w:style>
  <w:style w:type="paragraph" w:styleId="IntenseQuote">
    <w:name w:val="Intense Quote"/>
    <w:basedOn w:val="Normal"/>
    <w:next w:val="Normal"/>
    <w:link w:val="IntenseQuoteChar"/>
    <w:uiPriority w:val="30"/>
    <w:qFormat/>
    <w:rsid w:val="00C6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0FB"/>
    <w:rPr>
      <w:i/>
      <w:iCs/>
      <w:color w:val="2F5496" w:themeColor="accent1" w:themeShade="BF"/>
    </w:rPr>
  </w:style>
  <w:style w:type="character" w:styleId="IntenseReference">
    <w:name w:val="Intense Reference"/>
    <w:basedOn w:val="DefaultParagraphFont"/>
    <w:uiPriority w:val="32"/>
    <w:qFormat/>
    <w:rsid w:val="00C630FB"/>
    <w:rPr>
      <w:b/>
      <w:bCs/>
      <w:smallCaps/>
      <w:color w:val="2F5496" w:themeColor="accent1" w:themeShade="BF"/>
      <w:spacing w:val="5"/>
    </w:rPr>
  </w:style>
  <w:style w:type="paragraph" w:customStyle="1" w:styleId="Subhead">
    <w:name w:val="Subhead"/>
    <w:basedOn w:val="Normal"/>
    <w:qFormat/>
    <w:rsid w:val="00C630FB"/>
    <w:pPr>
      <w:pBdr>
        <w:bottom w:val="single" w:sz="4" w:space="3" w:color="0755A3"/>
      </w:pBdr>
      <w:tabs>
        <w:tab w:val="right" w:pos="7937"/>
      </w:tabs>
      <w:adjustRightInd w:val="0"/>
      <w:spacing w:before="480" w:after="120" w:line="480" w:lineRule="atLeast"/>
      <w:textAlignment w:val="center"/>
    </w:pPr>
    <w:rPr>
      <w:rFonts w:ascii="Calibri" w:eastAsiaTheme="minorHAnsi" w:hAnsi="Calibri" w:cs="Calibri"/>
      <w:color w:val="0755A3"/>
      <w:sz w:val="40"/>
      <w:szCs w:val="40"/>
      <w:lang w:eastAsia="en-US" w:bidi="ar-SA"/>
    </w:rPr>
  </w:style>
  <w:style w:type="table" w:styleId="TableGrid">
    <w:name w:val="Table Grid"/>
    <w:basedOn w:val="TableNormal"/>
    <w:uiPriority w:val="59"/>
    <w:rsid w:val="00C630F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799</Words>
  <Characters>4560</Characters>
  <Application>Microsoft Office Word</Application>
  <DocSecurity>4</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Jones</dc:creator>
  <cp:keywords/>
  <dc:description/>
  <cp:lastModifiedBy>Stacey Garner (PA Team)</cp:lastModifiedBy>
  <cp:revision>2</cp:revision>
  <dcterms:created xsi:type="dcterms:W3CDTF">2024-09-17T10:28:00Z</dcterms:created>
  <dcterms:modified xsi:type="dcterms:W3CDTF">2024-09-17T10:28:00Z</dcterms:modified>
</cp:coreProperties>
</file>